
<file path=[Content_Types].xml><?xml version="1.0" encoding="utf-8"?>
<Types xmlns="http://schemas.openxmlformats.org/package/2006/content-types">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55A0" w:rsidRPr="008D55A0" w:rsidRDefault="001E38B8" w:rsidP="008D55A0">
      <w:pPr>
        <w:tabs>
          <w:tab w:val="left" w:pos="3240"/>
        </w:tabs>
        <w:ind w:left="1276"/>
        <w:jc w:val="center"/>
        <w:outlineLvl w:val="0"/>
        <w:rPr>
          <w:rFonts w:ascii="Arial" w:hAnsi="Arial" w:cs="Arial"/>
          <w:bCs/>
          <w:kern w:val="36"/>
          <w:sz w:val="22"/>
          <w:szCs w:val="22"/>
          <w:lang w:val="en-PH" w:eastAsia="en-PH"/>
        </w:rPr>
      </w:pPr>
      <w:r w:rsidRPr="001E38B8">
        <w:rPr>
          <w:rFonts w:ascii="Arial" w:hAnsi="Arial" w:cs="Arial"/>
          <w:b/>
          <w:bCs/>
          <w:noProof/>
          <w:kern w:val="36"/>
          <w:sz w:val="48"/>
          <w:szCs w:val="48"/>
          <w:lang w:val="en-PH" w:eastAsia="en-PH"/>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44.65pt;margin-top:-5.05pt;width:57.75pt;height:54.75pt;z-index:251659264;mso-position-horizontal-relative:page" o:allowincell="f" fillcolor="window">
            <v:imagedata r:id="rId6" o:title=""/>
            <w10:wrap anchorx="page"/>
          </v:shape>
          <o:OLEObject Type="Embed" ProgID="PBrush" ShapeID="_x0000_s1026" DrawAspect="Content" ObjectID="_1591556830" r:id="rId7"/>
        </w:pict>
      </w:r>
      <w:r w:rsidR="008D55A0" w:rsidRPr="008D55A0">
        <w:rPr>
          <w:rFonts w:ascii="Arial" w:hAnsi="Arial" w:cs="Arial"/>
          <w:bCs/>
          <w:kern w:val="36"/>
          <w:sz w:val="22"/>
          <w:szCs w:val="22"/>
          <w:lang w:val="en-PH" w:eastAsia="en-PH"/>
        </w:rPr>
        <w:t>REPUBLIC OF THE PHILIPPINES</w:t>
      </w:r>
    </w:p>
    <w:p w:rsidR="008D55A0" w:rsidRPr="008D55A0" w:rsidRDefault="008D55A0" w:rsidP="008D55A0">
      <w:pPr>
        <w:tabs>
          <w:tab w:val="left" w:pos="0"/>
          <w:tab w:val="left" w:pos="3240"/>
        </w:tabs>
        <w:ind w:left="1276"/>
        <w:jc w:val="center"/>
        <w:outlineLvl w:val="0"/>
        <w:rPr>
          <w:rFonts w:ascii="Arial" w:hAnsi="Arial" w:cs="Arial"/>
          <w:b/>
          <w:bCs/>
          <w:kern w:val="36"/>
          <w:sz w:val="22"/>
          <w:szCs w:val="22"/>
          <w:lang w:val="en-PH" w:eastAsia="en-PH"/>
        </w:rPr>
      </w:pPr>
      <w:r w:rsidRPr="008D55A0">
        <w:rPr>
          <w:rFonts w:ascii="Arial" w:eastAsia="Calibri" w:hAnsi="Arial" w:cs="Arial"/>
          <w:b/>
          <w:bCs/>
          <w:sz w:val="24"/>
          <w:szCs w:val="24"/>
        </w:rPr>
        <w:t>COMMISSION ON AUDIT</w:t>
      </w:r>
    </w:p>
    <w:p w:rsidR="008D55A0" w:rsidRPr="008D55A0" w:rsidRDefault="008D55A0" w:rsidP="008D55A0">
      <w:pPr>
        <w:ind w:left="1276"/>
        <w:contextualSpacing/>
        <w:jc w:val="center"/>
        <w:rPr>
          <w:rFonts w:ascii="Arial" w:hAnsi="Arial" w:cs="Arial"/>
          <w:sz w:val="22"/>
        </w:rPr>
      </w:pPr>
      <w:r w:rsidRPr="008D55A0">
        <w:rPr>
          <w:rFonts w:ascii="Arial" w:hAnsi="Arial" w:cs="Arial"/>
          <w:sz w:val="22"/>
        </w:rPr>
        <w:t>Commonwealth Ave</w:t>
      </w:r>
      <w:r>
        <w:rPr>
          <w:rFonts w:ascii="Arial" w:hAnsi="Arial" w:cs="Arial"/>
          <w:sz w:val="22"/>
        </w:rPr>
        <w:t>nue</w:t>
      </w:r>
      <w:r w:rsidRPr="008D55A0">
        <w:rPr>
          <w:rFonts w:ascii="Arial" w:hAnsi="Arial" w:cs="Arial"/>
          <w:sz w:val="22"/>
        </w:rPr>
        <w:t>, Quezon City</w:t>
      </w:r>
      <w:r>
        <w:rPr>
          <w:rFonts w:ascii="Arial" w:hAnsi="Arial" w:cs="Arial"/>
          <w:sz w:val="22"/>
        </w:rPr>
        <w:t>, Philippines</w:t>
      </w:r>
    </w:p>
    <w:p w:rsidR="0085552C" w:rsidRDefault="0085552C" w:rsidP="00C87F98">
      <w:pPr>
        <w:pStyle w:val="NoSpacing"/>
        <w:jc w:val="both"/>
        <w:rPr>
          <w:rFonts w:ascii="Arial" w:hAnsi="Arial" w:cs="Arial"/>
          <w:b/>
        </w:rPr>
      </w:pPr>
    </w:p>
    <w:p w:rsidR="00474BD1" w:rsidRDefault="00474BD1" w:rsidP="000549F4">
      <w:pPr>
        <w:pStyle w:val="NoSpacing"/>
        <w:jc w:val="center"/>
        <w:rPr>
          <w:rFonts w:ascii="Arial" w:hAnsi="Arial" w:cs="Arial"/>
          <w:b/>
        </w:rPr>
      </w:pPr>
    </w:p>
    <w:p w:rsidR="00C87F98" w:rsidRPr="00474BD1" w:rsidRDefault="00630487" w:rsidP="000549F4">
      <w:pPr>
        <w:pStyle w:val="NoSpacing"/>
        <w:jc w:val="center"/>
        <w:rPr>
          <w:rFonts w:ascii="Arial" w:hAnsi="Arial" w:cs="Arial"/>
          <w:b/>
          <w:sz w:val="28"/>
          <w:szCs w:val="28"/>
        </w:rPr>
      </w:pPr>
      <w:r w:rsidRPr="00474BD1">
        <w:rPr>
          <w:rFonts w:ascii="Arial" w:hAnsi="Arial" w:cs="Arial"/>
          <w:b/>
          <w:sz w:val="28"/>
          <w:szCs w:val="28"/>
        </w:rPr>
        <w:t xml:space="preserve">                  </w:t>
      </w:r>
      <w:r w:rsidR="00C87F98" w:rsidRPr="00474BD1">
        <w:rPr>
          <w:rFonts w:ascii="Arial" w:hAnsi="Arial" w:cs="Arial"/>
          <w:b/>
          <w:sz w:val="28"/>
          <w:szCs w:val="28"/>
        </w:rPr>
        <w:t>INDEPENDENT AUDITOR’S REPORT</w:t>
      </w:r>
    </w:p>
    <w:p w:rsidR="00C87F98" w:rsidRPr="00630487" w:rsidRDefault="00C87F98" w:rsidP="00C87F98">
      <w:pPr>
        <w:pStyle w:val="NoSpacing"/>
        <w:jc w:val="both"/>
        <w:rPr>
          <w:rFonts w:ascii="Arial" w:hAnsi="Arial" w:cs="Arial"/>
          <w:b/>
        </w:rPr>
      </w:pPr>
    </w:p>
    <w:p w:rsidR="00C87F98" w:rsidRPr="00630487" w:rsidRDefault="00C87F98" w:rsidP="00C87F98">
      <w:pPr>
        <w:pStyle w:val="NoSpacing"/>
        <w:jc w:val="both"/>
        <w:rPr>
          <w:rFonts w:ascii="Arial" w:hAnsi="Arial" w:cs="Arial"/>
          <w:b/>
        </w:rPr>
      </w:pPr>
    </w:p>
    <w:p w:rsidR="00C87F98" w:rsidRPr="00630487" w:rsidRDefault="00C87F98" w:rsidP="00C87F98">
      <w:pPr>
        <w:pStyle w:val="NoSpacing"/>
        <w:jc w:val="both"/>
        <w:rPr>
          <w:rFonts w:ascii="Arial" w:hAnsi="Arial" w:cs="Arial"/>
          <w:b/>
        </w:rPr>
      </w:pPr>
      <w:r w:rsidRPr="00630487">
        <w:rPr>
          <w:rFonts w:ascii="Arial" w:hAnsi="Arial" w:cs="Arial"/>
          <w:b/>
        </w:rPr>
        <w:t>THE BOARD OF DIRECTORS</w:t>
      </w:r>
    </w:p>
    <w:p w:rsidR="00C87F98" w:rsidRPr="00630487" w:rsidRDefault="00C87F98" w:rsidP="00C87F98">
      <w:pPr>
        <w:pStyle w:val="NoSpacing"/>
        <w:jc w:val="both"/>
        <w:rPr>
          <w:rFonts w:ascii="Arial" w:hAnsi="Arial" w:cs="Arial"/>
        </w:rPr>
      </w:pPr>
      <w:r w:rsidRPr="00630487">
        <w:rPr>
          <w:rFonts w:ascii="Arial" w:hAnsi="Arial" w:cs="Arial"/>
        </w:rPr>
        <w:t>National Tobacco Administration</w:t>
      </w:r>
    </w:p>
    <w:p w:rsidR="00C87F98" w:rsidRPr="00630487" w:rsidRDefault="00C87F98" w:rsidP="00C87F98">
      <w:pPr>
        <w:pStyle w:val="NoSpacing"/>
        <w:jc w:val="both"/>
        <w:rPr>
          <w:rFonts w:ascii="Arial" w:hAnsi="Arial" w:cs="Arial"/>
        </w:rPr>
      </w:pPr>
      <w:r w:rsidRPr="00630487">
        <w:rPr>
          <w:rFonts w:ascii="Arial" w:hAnsi="Arial" w:cs="Arial"/>
        </w:rPr>
        <w:t>Scout Reyes corner Panay Avenue</w:t>
      </w:r>
    </w:p>
    <w:p w:rsidR="00C87F98" w:rsidRPr="00630487" w:rsidRDefault="00C87F98" w:rsidP="00C87F98">
      <w:pPr>
        <w:pStyle w:val="NoSpacing"/>
        <w:jc w:val="both"/>
        <w:rPr>
          <w:rFonts w:ascii="Arial" w:hAnsi="Arial" w:cs="Arial"/>
        </w:rPr>
      </w:pPr>
      <w:r w:rsidRPr="00630487">
        <w:rPr>
          <w:rFonts w:ascii="Arial" w:hAnsi="Arial" w:cs="Arial"/>
        </w:rPr>
        <w:t>Quezon City</w:t>
      </w:r>
    </w:p>
    <w:p w:rsidR="00C87F98" w:rsidRPr="00630487" w:rsidRDefault="00C87F98" w:rsidP="00C87F98">
      <w:pPr>
        <w:pStyle w:val="NoSpacing"/>
        <w:jc w:val="both"/>
        <w:rPr>
          <w:rFonts w:ascii="Arial" w:hAnsi="Arial" w:cs="Arial"/>
        </w:rPr>
      </w:pPr>
    </w:p>
    <w:p w:rsidR="009A11E1" w:rsidRPr="00630487" w:rsidRDefault="009A11E1" w:rsidP="00C87F98">
      <w:pPr>
        <w:pStyle w:val="NoSpacing"/>
        <w:jc w:val="both"/>
        <w:rPr>
          <w:rFonts w:ascii="Arial" w:hAnsi="Arial" w:cs="Arial"/>
        </w:rPr>
      </w:pPr>
    </w:p>
    <w:p w:rsidR="00C87F98" w:rsidRPr="00630487" w:rsidRDefault="009A11E1" w:rsidP="00C87F98">
      <w:pPr>
        <w:pStyle w:val="NoSpacing"/>
        <w:jc w:val="both"/>
        <w:rPr>
          <w:rFonts w:ascii="Arial" w:hAnsi="Arial" w:cs="Arial"/>
          <w:b/>
        </w:rPr>
      </w:pPr>
      <w:r w:rsidRPr="00630487">
        <w:rPr>
          <w:rFonts w:ascii="Arial" w:hAnsi="Arial" w:cs="Arial"/>
          <w:b/>
        </w:rPr>
        <w:t>Report on the Audit of the Financial Statements</w:t>
      </w:r>
    </w:p>
    <w:p w:rsidR="009A11E1" w:rsidRPr="00630487" w:rsidRDefault="009A11E1" w:rsidP="00C87F98">
      <w:pPr>
        <w:pStyle w:val="NoSpacing"/>
        <w:jc w:val="both"/>
        <w:rPr>
          <w:rFonts w:ascii="Arial" w:hAnsi="Arial" w:cs="Arial"/>
        </w:rPr>
      </w:pPr>
    </w:p>
    <w:p w:rsidR="00C87F98" w:rsidRPr="00630487" w:rsidRDefault="00C87F98" w:rsidP="00C87F98">
      <w:pPr>
        <w:pStyle w:val="NoSpacing"/>
        <w:jc w:val="both"/>
        <w:rPr>
          <w:rFonts w:ascii="Arial" w:hAnsi="Arial" w:cs="Arial"/>
          <w:b/>
        </w:rPr>
      </w:pPr>
      <w:r w:rsidRPr="00630487">
        <w:rPr>
          <w:rFonts w:ascii="Arial" w:hAnsi="Arial" w:cs="Arial"/>
          <w:b/>
        </w:rPr>
        <w:t>Opinion</w:t>
      </w:r>
    </w:p>
    <w:p w:rsidR="009C5A52" w:rsidRDefault="009C5A52" w:rsidP="00C87F98">
      <w:pPr>
        <w:pStyle w:val="NoSpacing"/>
        <w:jc w:val="both"/>
        <w:rPr>
          <w:rFonts w:ascii="Arial" w:hAnsi="Arial" w:cs="Arial"/>
        </w:rPr>
      </w:pPr>
    </w:p>
    <w:p w:rsidR="0046158D" w:rsidRPr="0016602F" w:rsidRDefault="0046158D" w:rsidP="0046158D">
      <w:pPr>
        <w:jc w:val="both"/>
        <w:rPr>
          <w:rFonts w:ascii="Arial" w:hAnsi="Arial"/>
          <w:color w:val="000000" w:themeColor="text1"/>
          <w:sz w:val="22"/>
        </w:rPr>
      </w:pPr>
      <w:r w:rsidRPr="0016602F">
        <w:rPr>
          <w:rFonts w:ascii="Arial" w:hAnsi="Arial"/>
          <w:color w:val="000000" w:themeColor="text1"/>
          <w:sz w:val="22"/>
        </w:rPr>
        <w:t xml:space="preserve">We have audited the financial statements of the </w:t>
      </w:r>
      <w:r>
        <w:rPr>
          <w:rFonts w:ascii="Arial" w:hAnsi="Arial"/>
          <w:b/>
          <w:color w:val="000000" w:themeColor="text1"/>
          <w:sz w:val="22"/>
        </w:rPr>
        <w:t>National Tobacco Administration</w:t>
      </w:r>
      <w:r w:rsidRPr="0016602F">
        <w:rPr>
          <w:rFonts w:ascii="Arial" w:hAnsi="Arial"/>
          <w:b/>
          <w:color w:val="000000" w:themeColor="text1"/>
          <w:sz w:val="22"/>
        </w:rPr>
        <w:t xml:space="preserve"> (N</w:t>
      </w:r>
      <w:r>
        <w:rPr>
          <w:rFonts w:ascii="Arial" w:hAnsi="Arial"/>
          <w:b/>
          <w:color w:val="000000" w:themeColor="text1"/>
          <w:sz w:val="22"/>
        </w:rPr>
        <w:t>T</w:t>
      </w:r>
      <w:r w:rsidRPr="0016602F">
        <w:rPr>
          <w:rFonts w:ascii="Arial" w:hAnsi="Arial"/>
          <w:b/>
          <w:color w:val="000000" w:themeColor="text1"/>
          <w:sz w:val="22"/>
        </w:rPr>
        <w:t>A)</w:t>
      </w:r>
      <w:r w:rsidRPr="0016602F">
        <w:rPr>
          <w:rFonts w:ascii="Arial" w:hAnsi="Arial"/>
          <w:color w:val="000000" w:themeColor="text1"/>
          <w:sz w:val="22"/>
        </w:rPr>
        <w:t>,</w:t>
      </w:r>
      <w:r w:rsidRPr="0016602F">
        <w:rPr>
          <w:rFonts w:ascii="Arial" w:hAnsi="Arial"/>
          <w:b/>
          <w:color w:val="000000" w:themeColor="text1"/>
          <w:sz w:val="22"/>
        </w:rPr>
        <w:t xml:space="preserve"> </w:t>
      </w:r>
      <w:r w:rsidRPr="0016602F">
        <w:rPr>
          <w:rFonts w:ascii="Arial" w:hAnsi="Arial"/>
          <w:color w:val="000000" w:themeColor="text1"/>
          <w:sz w:val="22"/>
        </w:rPr>
        <w:t xml:space="preserve">which comprise the statement of financial position as at December 31, 2017 and the statement of financial performance, statement of changes in net assets/equity, statement of cash flows, and statement of comparison of budget and actual amounts for the year then ended, </w:t>
      </w:r>
      <w:r w:rsidRPr="0016602F">
        <w:rPr>
          <w:rFonts w:ascii="Arial" w:hAnsi="Arial" w:cs="Arial"/>
          <w:color w:val="000000" w:themeColor="text1"/>
          <w:sz w:val="22"/>
          <w:szCs w:val="22"/>
        </w:rPr>
        <w:t>and notes to the financial statements, including a summary of significant accounting policies.</w:t>
      </w:r>
    </w:p>
    <w:p w:rsidR="0046158D" w:rsidRPr="0016602F" w:rsidRDefault="0046158D" w:rsidP="0046158D">
      <w:pPr>
        <w:jc w:val="both"/>
        <w:rPr>
          <w:rFonts w:ascii="Arial" w:hAnsi="Arial" w:cs="Arial"/>
          <w:color w:val="000000" w:themeColor="text1"/>
          <w:sz w:val="22"/>
          <w:szCs w:val="22"/>
        </w:rPr>
      </w:pPr>
    </w:p>
    <w:p w:rsidR="0046158D" w:rsidRPr="006D55A0" w:rsidRDefault="0046158D" w:rsidP="0046158D">
      <w:pPr>
        <w:jc w:val="both"/>
        <w:rPr>
          <w:rFonts w:ascii="Arial" w:hAnsi="Arial" w:cs="Arial"/>
          <w:color w:val="000000" w:themeColor="text1"/>
          <w:sz w:val="22"/>
          <w:szCs w:val="22"/>
        </w:rPr>
      </w:pPr>
      <w:r w:rsidRPr="006D55A0">
        <w:rPr>
          <w:rFonts w:ascii="Arial" w:hAnsi="Arial" w:cs="Arial"/>
          <w:color w:val="000000" w:themeColor="text1"/>
          <w:sz w:val="22"/>
          <w:szCs w:val="22"/>
        </w:rPr>
        <w:t xml:space="preserve">In our opinion, except for the effects and possible effects of the matters described in the Basis for Qualified Opinion section of our report, the financial statements present fairly, in all material respects, the financial position of </w:t>
      </w:r>
      <w:r w:rsidRPr="006D55A0">
        <w:rPr>
          <w:rFonts w:ascii="Arial" w:hAnsi="Arial" w:cs="Arial"/>
          <w:b/>
          <w:color w:val="000000" w:themeColor="text1"/>
          <w:sz w:val="22"/>
          <w:szCs w:val="22"/>
        </w:rPr>
        <w:t>NTA</w:t>
      </w:r>
      <w:r w:rsidRPr="006D55A0">
        <w:rPr>
          <w:rFonts w:ascii="Arial" w:hAnsi="Arial" w:cs="Arial"/>
          <w:color w:val="000000" w:themeColor="text1"/>
          <w:sz w:val="22"/>
          <w:szCs w:val="22"/>
        </w:rPr>
        <w:t xml:space="preserve"> as at December 31, 2017, and of its financial performance and its cash flows for the year then ended in accordance with Philippine Public Sector Accounting Standards (PPSASs).</w:t>
      </w:r>
    </w:p>
    <w:p w:rsidR="0046158D" w:rsidRPr="00630487" w:rsidRDefault="0046158D" w:rsidP="00C87F98">
      <w:pPr>
        <w:pStyle w:val="NoSpacing"/>
        <w:jc w:val="both"/>
        <w:rPr>
          <w:rFonts w:ascii="Arial" w:hAnsi="Arial" w:cs="Arial"/>
        </w:rPr>
      </w:pPr>
    </w:p>
    <w:p w:rsidR="00C87F98" w:rsidRPr="00630487" w:rsidRDefault="00C87F98" w:rsidP="00C87F98">
      <w:pPr>
        <w:pStyle w:val="NoSpacing"/>
        <w:jc w:val="both"/>
        <w:rPr>
          <w:rFonts w:ascii="Arial" w:hAnsi="Arial" w:cs="Arial"/>
          <w:b/>
        </w:rPr>
      </w:pPr>
      <w:r w:rsidRPr="00630487">
        <w:rPr>
          <w:rFonts w:ascii="Arial" w:hAnsi="Arial" w:cs="Arial"/>
          <w:b/>
        </w:rPr>
        <w:t>Basis for Qualified Opinion</w:t>
      </w:r>
    </w:p>
    <w:p w:rsidR="00C87F98" w:rsidRDefault="00C87F98" w:rsidP="00C87F98">
      <w:pPr>
        <w:pStyle w:val="NoSpacing"/>
        <w:jc w:val="both"/>
        <w:rPr>
          <w:rFonts w:ascii="Arial" w:hAnsi="Arial" w:cs="Arial"/>
          <w:b/>
        </w:rPr>
      </w:pPr>
    </w:p>
    <w:p w:rsidR="00803BF4" w:rsidRPr="00803BF4" w:rsidRDefault="00803BF4" w:rsidP="00803BF4">
      <w:pPr>
        <w:pStyle w:val="ListParagraph"/>
        <w:spacing w:after="100" w:afterAutospacing="1" w:line="240" w:lineRule="auto"/>
        <w:ind w:left="0"/>
        <w:jc w:val="both"/>
        <w:rPr>
          <w:rFonts w:ascii="Arial" w:hAnsi="Arial" w:cs="Arial"/>
          <w:color w:val="000000" w:themeColor="text1"/>
        </w:rPr>
      </w:pPr>
      <w:r w:rsidRPr="00803BF4">
        <w:rPr>
          <w:rFonts w:ascii="Arial" w:hAnsi="Arial" w:cs="Arial"/>
          <w:color w:val="000000" w:themeColor="text1"/>
        </w:rPr>
        <w:t xml:space="preserve">The </w:t>
      </w:r>
      <w:r w:rsidR="007A107D">
        <w:rPr>
          <w:rFonts w:ascii="Arial" w:hAnsi="Arial" w:cs="Arial"/>
          <w:color w:val="000000" w:themeColor="text1"/>
        </w:rPr>
        <w:t xml:space="preserve">accounts </w:t>
      </w:r>
      <w:r w:rsidRPr="00803BF4">
        <w:rPr>
          <w:rFonts w:ascii="Arial" w:hAnsi="Arial" w:cs="Arial"/>
          <w:color w:val="000000" w:themeColor="text1"/>
        </w:rPr>
        <w:t xml:space="preserve">Cash-Collecting Officers, Receivables, Other Current Assets and Other Non-Current Assets aggregating P167.881 million are </w:t>
      </w:r>
      <w:r w:rsidR="007A107D">
        <w:rPr>
          <w:rFonts w:ascii="Arial" w:hAnsi="Arial" w:cs="Arial"/>
          <w:color w:val="000000" w:themeColor="text1"/>
        </w:rPr>
        <w:t>un</w:t>
      </w:r>
      <w:r w:rsidRPr="00803BF4">
        <w:rPr>
          <w:rFonts w:ascii="Arial" w:hAnsi="Arial" w:cs="Arial"/>
          <w:color w:val="000000" w:themeColor="text1"/>
        </w:rPr>
        <w:t xml:space="preserve">reliable, considering that these assets have been dormant for more than 10 to 29 years due to undocumented balances of P97.235 million carried over from seven defunct tobacco agencies in 1987; inclusion of unsettled loans of farmers/traders/cooperatives since 1996 </w:t>
      </w:r>
      <w:proofErr w:type="spellStart"/>
      <w:r w:rsidRPr="00803BF4">
        <w:rPr>
          <w:rFonts w:ascii="Arial" w:hAnsi="Arial" w:cs="Arial"/>
          <w:color w:val="000000" w:themeColor="text1"/>
        </w:rPr>
        <w:t>totaling</w:t>
      </w:r>
      <w:proofErr w:type="spellEnd"/>
      <w:r w:rsidRPr="00803BF4">
        <w:rPr>
          <w:rFonts w:ascii="Arial" w:hAnsi="Arial" w:cs="Arial"/>
          <w:color w:val="000000" w:themeColor="text1"/>
        </w:rPr>
        <w:t xml:space="preserve"> P21.335 million with an interest of P15.265 million; unrecovered investment in bonds amounting to P28.634 million as the case of recovery had been dismissed by the court; and </w:t>
      </w:r>
      <w:r w:rsidR="007A107D">
        <w:rPr>
          <w:rFonts w:ascii="Arial" w:hAnsi="Arial" w:cs="Arial"/>
          <w:color w:val="000000" w:themeColor="text1"/>
        </w:rPr>
        <w:t xml:space="preserve">           </w:t>
      </w:r>
      <w:r w:rsidRPr="00803BF4">
        <w:rPr>
          <w:rFonts w:ascii="Arial" w:hAnsi="Arial" w:cs="Arial"/>
          <w:color w:val="000000" w:themeColor="text1"/>
        </w:rPr>
        <w:t>non-provision of impairment loss on various dormant accounts.</w:t>
      </w:r>
    </w:p>
    <w:p w:rsidR="00803BF4" w:rsidRDefault="00803BF4" w:rsidP="00803BF4">
      <w:pPr>
        <w:pStyle w:val="ListParagraph"/>
        <w:spacing w:after="100" w:afterAutospacing="1" w:line="240" w:lineRule="auto"/>
        <w:ind w:left="0"/>
        <w:jc w:val="both"/>
        <w:rPr>
          <w:rFonts w:ascii="Arial" w:hAnsi="Arial" w:cs="Arial"/>
          <w:b/>
          <w:bCs/>
        </w:rPr>
      </w:pPr>
    </w:p>
    <w:p w:rsidR="00803BF4" w:rsidRDefault="00746522" w:rsidP="00803BF4">
      <w:pPr>
        <w:pStyle w:val="ListParagraph"/>
        <w:spacing w:after="100" w:afterAutospacing="1" w:line="240" w:lineRule="auto"/>
        <w:ind w:left="0"/>
        <w:jc w:val="both"/>
        <w:rPr>
          <w:rFonts w:ascii="Arial" w:hAnsi="Arial" w:cs="Arial"/>
        </w:rPr>
      </w:pPr>
      <w:r>
        <w:rPr>
          <w:rFonts w:ascii="Arial" w:hAnsi="Arial" w:cs="Arial"/>
          <w:bCs/>
        </w:rPr>
        <w:t>Likewise, t</w:t>
      </w:r>
      <w:r w:rsidR="00803BF4" w:rsidRPr="00803BF4">
        <w:rPr>
          <w:rFonts w:ascii="Arial" w:hAnsi="Arial" w:cs="Arial"/>
          <w:bCs/>
        </w:rPr>
        <w:t xml:space="preserve">he existence and completeness of the Property, Plant and Equipment  account with total cost of P702.433 million as at December 31, 2017 could not be ascertained due to incomplete physical inventory of immovable assets in NTA–Central Office </w:t>
      </w:r>
      <w:r>
        <w:rPr>
          <w:rFonts w:ascii="Arial" w:hAnsi="Arial" w:cs="Arial"/>
          <w:bCs/>
        </w:rPr>
        <w:t xml:space="preserve">(CO) </w:t>
      </w:r>
      <w:proofErr w:type="spellStart"/>
      <w:r w:rsidR="00803BF4" w:rsidRPr="00803BF4">
        <w:rPr>
          <w:rFonts w:ascii="Arial" w:hAnsi="Arial" w:cs="Arial"/>
          <w:bCs/>
        </w:rPr>
        <w:t>totaling</w:t>
      </w:r>
      <w:proofErr w:type="spellEnd"/>
      <w:r w:rsidR="00803BF4" w:rsidRPr="00803BF4">
        <w:rPr>
          <w:rFonts w:ascii="Arial" w:hAnsi="Arial" w:cs="Arial"/>
          <w:bCs/>
        </w:rPr>
        <w:t xml:space="preserve"> P</w:t>
      </w:r>
      <w:r w:rsidR="00803BF4" w:rsidRPr="00803BF4">
        <w:rPr>
          <w:rFonts w:ascii="Arial" w:hAnsi="Arial" w:cs="Arial"/>
        </w:rPr>
        <w:t xml:space="preserve">120.819 million; discrepancies of P170.458 million between accounting records of P165.331 million and property records of P335.789 million in NTA–CO and </w:t>
      </w:r>
      <w:proofErr w:type="spellStart"/>
      <w:r w:rsidR="00803BF4" w:rsidRPr="00803BF4">
        <w:rPr>
          <w:rFonts w:ascii="Arial" w:hAnsi="Arial" w:cs="Arial"/>
        </w:rPr>
        <w:t>Isabela</w:t>
      </w:r>
      <w:proofErr w:type="spellEnd"/>
      <w:r w:rsidR="00803BF4" w:rsidRPr="00803BF4">
        <w:rPr>
          <w:rFonts w:ascii="Arial" w:hAnsi="Arial" w:cs="Arial"/>
        </w:rPr>
        <w:t xml:space="preserve"> Branch;  non-provision of allowance for impairment loss on the idle property in NTA Cagayan Branch which is not in accordance with Philippine Public-Sector Accounting Standards (PPSAS) 21</w:t>
      </w:r>
      <w:r w:rsidR="00043EF8">
        <w:rPr>
          <w:rFonts w:ascii="Arial" w:hAnsi="Arial" w:cs="Arial"/>
        </w:rPr>
        <w:t>.</w:t>
      </w:r>
    </w:p>
    <w:p w:rsidR="004D3996" w:rsidRDefault="004D3996" w:rsidP="004D3996">
      <w:pPr>
        <w:pStyle w:val="ListParagraph"/>
        <w:spacing w:after="0" w:line="240" w:lineRule="auto"/>
        <w:ind w:left="0"/>
        <w:jc w:val="both"/>
        <w:rPr>
          <w:rFonts w:ascii="Arial" w:hAnsi="Arial" w:cs="Arial"/>
          <w:color w:val="000000"/>
        </w:rPr>
      </w:pPr>
      <w:r>
        <w:rPr>
          <w:rFonts w:ascii="Arial" w:hAnsi="Arial" w:cs="Arial"/>
          <w:color w:val="000000"/>
        </w:rPr>
        <w:lastRenderedPageBreak/>
        <w:t>We were unable to obtain sufficient appropriate audit evidence about the balances of the abovementioned accounts due to inadequacy of the accounting and property records.  Consequently, we were unable to determine whether any adjustments to these amounts were necessary.</w:t>
      </w:r>
    </w:p>
    <w:p w:rsidR="004D3996" w:rsidRDefault="004D3996" w:rsidP="00474BD1">
      <w:pPr>
        <w:jc w:val="both"/>
        <w:rPr>
          <w:rFonts w:ascii="Arial" w:hAnsi="Arial" w:cs="Arial"/>
          <w:color w:val="000000" w:themeColor="text1"/>
          <w:sz w:val="22"/>
          <w:szCs w:val="22"/>
        </w:rPr>
      </w:pPr>
    </w:p>
    <w:p w:rsidR="00474BD1" w:rsidRPr="0016602F" w:rsidRDefault="00474BD1" w:rsidP="00474BD1">
      <w:pPr>
        <w:jc w:val="both"/>
        <w:rPr>
          <w:rFonts w:ascii="Arial" w:hAnsi="Arial" w:cs="Arial"/>
          <w:color w:val="000000" w:themeColor="text1"/>
          <w:sz w:val="22"/>
          <w:szCs w:val="22"/>
        </w:rPr>
      </w:pPr>
      <w:r w:rsidRPr="0016602F">
        <w:rPr>
          <w:rFonts w:ascii="Arial" w:hAnsi="Arial" w:cs="Arial"/>
          <w:color w:val="000000" w:themeColor="text1"/>
          <w:sz w:val="22"/>
          <w:szCs w:val="22"/>
        </w:rPr>
        <w:t xml:space="preserve">We conducted our audit in accordance with International Standards of Supreme Audit Institutions (ISSAIs).  Our responsibilities under those standards are further described in the </w:t>
      </w:r>
      <w:r w:rsidRPr="0016602F">
        <w:rPr>
          <w:rFonts w:ascii="Arial" w:hAnsi="Arial" w:cs="Arial"/>
          <w:i/>
          <w:color w:val="000000" w:themeColor="text1"/>
          <w:sz w:val="22"/>
          <w:szCs w:val="22"/>
        </w:rPr>
        <w:t xml:space="preserve">Auditor’s Responsibilities for the Audit of the Financial Statements section of our report.  </w:t>
      </w:r>
      <w:r w:rsidRPr="0016602F">
        <w:rPr>
          <w:rFonts w:ascii="Arial" w:hAnsi="Arial" w:cs="Arial"/>
          <w:color w:val="000000" w:themeColor="text1"/>
          <w:sz w:val="22"/>
          <w:szCs w:val="22"/>
        </w:rPr>
        <w:t>We are independent of the N</w:t>
      </w:r>
      <w:r>
        <w:rPr>
          <w:rFonts w:ascii="Arial" w:hAnsi="Arial" w:cs="Arial"/>
          <w:color w:val="000000" w:themeColor="text1"/>
          <w:sz w:val="22"/>
          <w:szCs w:val="22"/>
        </w:rPr>
        <w:t>T</w:t>
      </w:r>
      <w:r w:rsidRPr="0016602F">
        <w:rPr>
          <w:rFonts w:ascii="Arial" w:hAnsi="Arial" w:cs="Arial"/>
          <w:color w:val="000000" w:themeColor="text1"/>
          <w:sz w:val="22"/>
          <w:szCs w:val="22"/>
        </w:rPr>
        <w:t>A in accordance with the ethical requirements that are relevant to our audit of the financial statements in the Philippines, and we have fulfilled our other ethical responsibilities in accordance with these requirements. We believe that the audit evidence we have obtained is sufficient and appropriate to provide a basis for our opinion.</w:t>
      </w:r>
    </w:p>
    <w:p w:rsidR="00474BD1" w:rsidRPr="0016602F" w:rsidRDefault="00474BD1" w:rsidP="00474BD1">
      <w:pPr>
        <w:jc w:val="both"/>
        <w:rPr>
          <w:rFonts w:ascii="Arial" w:hAnsi="Arial"/>
          <w:b/>
          <w:i/>
          <w:color w:val="000000" w:themeColor="text1"/>
          <w:sz w:val="22"/>
        </w:rPr>
      </w:pPr>
    </w:p>
    <w:p w:rsidR="00474BD1" w:rsidRPr="000C3909" w:rsidRDefault="00474BD1" w:rsidP="00474BD1">
      <w:pPr>
        <w:jc w:val="both"/>
        <w:rPr>
          <w:rFonts w:ascii="Arial" w:hAnsi="Arial"/>
          <w:b/>
          <w:sz w:val="22"/>
        </w:rPr>
      </w:pPr>
      <w:r w:rsidRPr="0046290D">
        <w:rPr>
          <w:rFonts w:ascii="Arial" w:hAnsi="Arial"/>
          <w:b/>
          <w:sz w:val="22"/>
        </w:rPr>
        <w:t xml:space="preserve">Responsibilities of Management and Those Charged </w:t>
      </w:r>
    </w:p>
    <w:p w:rsidR="00474BD1" w:rsidRPr="005D6D39" w:rsidRDefault="00474BD1" w:rsidP="00474BD1">
      <w:pPr>
        <w:jc w:val="both"/>
        <w:rPr>
          <w:rFonts w:ascii="Arial" w:hAnsi="Arial"/>
          <w:b/>
          <w:i/>
          <w:sz w:val="22"/>
        </w:rPr>
      </w:pPr>
      <w:proofErr w:type="gramStart"/>
      <w:r w:rsidRPr="0046290D">
        <w:rPr>
          <w:rFonts w:ascii="Arial" w:hAnsi="Arial"/>
          <w:b/>
          <w:sz w:val="22"/>
        </w:rPr>
        <w:t>with</w:t>
      </w:r>
      <w:proofErr w:type="gramEnd"/>
      <w:r w:rsidRPr="0046290D">
        <w:rPr>
          <w:rFonts w:ascii="Arial" w:hAnsi="Arial"/>
          <w:b/>
          <w:sz w:val="22"/>
        </w:rPr>
        <w:t xml:space="preserve"> Governance for the Financial Statements</w:t>
      </w:r>
    </w:p>
    <w:p w:rsidR="00474BD1" w:rsidRPr="00053D1C" w:rsidRDefault="00474BD1" w:rsidP="00474BD1">
      <w:pPr>
        <w:jc w:val="both"/>
        <w:rPr>
          <w:rFonts w:ascii="Arial" w:hAnsi="Arial"/>
          <w:sz w:val="22"/>
        </w:rPr>
      </w:pPr>
    </w:p>
    <w:p w:rsidR="00474BD1" w:rsidRDefault="00474BD1" w:rsidP="00474BD1">
      <w:pPr>
        <w:jc w:val="both"/>
        <w:rPr>
          <w:rFonts w:ascii="Arial" w:hAnsi="Arial"/>
          <w:sz w:val="22"/>
        </w:rPr>
      </w:pPr>
      <w:r w:rsidRPr="00462690">
        <w:rPr>
          <w:rFonts w:ascii="Arial" w:hAnsi="Arial"/>
          <w:sz w:val="22"/>
        </w:rPr>
        <w:t>Management is responsible for the preparation and fair presentation of the</w:t>
      </w:r>
      <w:r>
        <w:rPr>
          <w:rFonts w:ascii="Arial" w:hAnsi="Arial"/>
          <w:sz w:val="22"/>
        </w:rPr>
        <w:t xml:space="preserve">se </w:t>
      </w:r>
      <w:r w:rsidRPr="00462690">
        <w:rPr>
          <w:rFonts w:ascii="Arial" w:hAnsi="Arial"/>
          <w:sz w:val="22"/>
        </w:rPr>
        <w:t xml:space="preserve">financial statements in accordance with </w:t>
      </w:r>
      <w:r>
        <w:rPr>
          <w:rFonts w:ascii="Arial" w:hAnsi="Arial"/>
          <w:sz w:val="22"/>
        </w:rPr>
        <w:t>PPSASs</w:t>
      </w:r>
      <w:r w:rsidRPr="00462690">
        <w:rPr>
          <w:rFonts w:ascii="Arial" w:hAnsi="Arial"/>
          <w:sz w:val="22"/>
        </w:rPr>
        <w:t>, and for such internal control as management determines is necessary to enable the preparation of financial statements that are free from material misstatement, whether due to fraud or error.</w:t>
      </w:r>
    </w:p>
    <w:p w:rsidR="00474BD1" w:rsidRDefault="00474BD1" w:rsidP="00474BD1">
      <w:pPr>
        <w:jc w:val="both"/>
        <w:rPr>
          <w:rFonts w:ascii="Arial" w:hAnsi="Arial"/>
          <w:sz w:val="22"/>
        </w:rPr>
      </w:pPr>
    </w:p>
    <w:p w:rsidR="00474BD1" w:rsidRDefault="00474BD1" w:rsidP="00474BD1">
      <w:pPr>
        <w:jc w:val="both"/>
        <w:rPr>
          <w:rFonts w:ascii="Arial" w:hAnsi="Arial"/>
          <w:sz w:val="22"/>
        </w:rPr>
      </w:pPr>
      <w:r>
        <w:rPr>
          <w:rFonts w:ascii="Arial" w:hAnsi="Arial"/>
          <w:sz w:val="22"/>
        </w:rPr>
        <w:t>In preparing the financial statements, management is responsible for assessing the NTA’s ability to continue as a going concern, disclosing, as applicable, matters related to going concern and using the going concern basis of accounting unless management either intends to liquidate N</w:t>
      </w:r>
      <w:r w:rsidR="00710D2D">
        <w:rPr>
          <w:rFonts w:ascii="Arial" w:hAnsi="Arial"/>
          <w:sz w:val="22"/>
        </w:rPr>
        <w:t>T</w:t>
      </w:r>
      <w:r>
        <w:rPr>
          <w:rFonts w:ascii="Arial" w:hAnsi="Arial"/>
          <w:sz w:val="22"/>
        </w:rPr>
        <w:t xml:space="preserve">A or to cease operations, or has no realistic alternative but to do so.  </w:t>
      </w:r>
    </w:p>
    <w:p w:rsidR="00474BD1" w:rsidRDefault="00474BD1" w:rsidP="00474BD1">
      <w:pPr>
        <w:jc w:val="both"/>
        <w:rPr>
          <w:rFonts w:ascii="Arial" w:hAnsi="Arial"/>
          <w:sz w:val="22"/>
        </w:rPr>
      </w:pPr>
    </w:p>
    <w:p w:rsidR="00474BD1" w:rsidRPr="00462690" w:rsidRDefault="00474BD1" w:rsidP="00474BD1">
      <w:pPr>
        <w:jc w:val="both"/>
        <w:rPr>
          <w:rFonts w:ascii="Arial" w:hAnsi="Arial"/>
          <w:sz w:val="22"/>
        </w:rPr>
      </w:pPr>
      <w:r>
        <w:rPr>
          <w:rFonts w:ascii="Arial" w:hAnsi="Arial"/>
          <w:sz w:val="22"/>
        </w:rPr>
        <w:t>Those charged with governance are responsible for overseeing the NTA’s financial reporting process.</w:t>
      </w:r>
    </w:p>
    <w:p w:rsidR="00474BD1" w:rsidRPr="00462690" w:rsidRDefault="00474BD1" w:rsidP="00474BD1">
      <w:pPr>
        <w:jc w:val="both"/>
        <w:rPr>
          <w:rFonts w:ascii="Arial" w:hAnsi="Arial"/>
          <w:sz w:val="22"/>
        </w:rPr>
      </w:pPr>
    </w:p>
    <w:p w:rsidR="00474BD1" w:rsidRPr="000C3909" w:rsidRDefault="00474BD1" w:rsidP="00474BD1">
      <w:pPr>
        <w:jc w:val="both"/>
        <w:rPr>
          <w:rFonts w:ascii="Arial" w:hAnsi="Arial"/>
          <w:b/>
          <w:sz w:val="22"/>
        </w:rPr>
      </w:pPr>
      <w:r w:rsidRPr="0046290D">
        <w:rPr>
          <w:rFonts w:ascii="Arial" w:hAnsi="Arial"/>
          <w:b/>
          <w:sz w:val="22"/>
        </w:rPr>
        <w:t>Auditor’s Responsibilities for the Audit of the Financial Statements</w:t>
      </w:r>
    </w:p>
    <w:p w:rsidR="00474BD1" w:rsidRPr="00462690" w:rsidRDefault="00474BD1" w:rsidP="00474BD1">
      <w:pPr>
        <w:jc w:val="both"/>
        <w:rPr>
          <w:rFonts w:ascii="Arial" w:hAnsi="Arial"/>
          <w:i/>
          <w:sz w:val="22"/>
        </w:rPr>
      </w:pPr>
    </w:p>
    <w:p w:rsidR="00474BD1" w:rsidRPr="0016602F" w:rsidRDefault="00474BD1" w:rsidP="00474BD1">
      <w:pPr>
        <w:jc w:val="both"/>
        <w:rPr>
          <w:rFonts w:ascii="Arial" w:hAnsi="Arial" w:cs="Arial"/>
          <w:color w:val="000000" w:themeColor="text1"/>
          <w:sz w:val="22"/>
          <w:szCs w:val="22"/>
        </w:rPr>
      </w:pPr>
      <w:r w:rsidRPr="0016602F">
        <w:rPr>
          <w:rFonts w:ascii="Arial" w:hAnsi="Arial" w:cs="Arial"/>
          <w:color w:val="000000" w:themeColor="text1"/>
          <w:sz w:val="22"/>
          <w:szCs w:val="22"/>
        </w:rPr>
        <w:t>Our objectives are to obtain reasonable assurance about whether the financial statements as a whole are free from material misstatement, whether due to fraud or error, and to issue an auditor’s report that includes our opinion.   Reasonable assurance is a high level of assurance, but is not a guarantee that an audit conducted in accordance with ISSAI</w:t>
      </w:r>
      <w:r>
        <w:rPr>
          <w:rFonts w:ascii="Arial" w:hAnsi="Arial" w:cs="Arial"/>
          <w:color w:val="000000" w:themeColor="text1"/>
          <w:sz w:val="22"/>
          <w:szCs w:val="22"/>
        </w:rPr>
        <w:t>s</w:t>
      </w:r>
      <w:r w:rsidRPr="0016602F">
        <w:rPr>
          <w:rFonts w:ascii="Arial" w:hAnsi="Arial" w:cs="Arial"/>
          <w:color w:val="000000" w:themeColor="text1"/>
          <w:sz w:val="22"/>
          <w:szCs w:val="22"/>
        </w:rPr>
        <w:t xml:space="preserve">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rsidR="00474BD1" w:rsidRPr="002A3F5A" w:rsidRDefault="00474BD1" w:rsidP="00474BD1">
      <w:pPr>
        <w:jc w:val="both"/>
        <w:rPr>
          <w:rFonts w:ascii="Arial" w:hAnsi="Arial" w:cs="Arial"/>
          <w:sz w:val="22"/>
          <w:szCs w:val="22"/>
        </w:rPr>
      </w:pPr>
    </w:p>
    <w:p w:rsidR="00474BD1" w:rsidRPr="0016602F" w:rsidRDefault="00474BD1" w:rsidP="00474BD1">
      <w:pPr>
        <w:jc w:val="both"/>
        <w:rPr>
          <w:rFonts w:ascii="Arial" w:hAnsi="Arial" w:cs="Arial"/>
          <w:color w:val="000000" w:themeColor="text1"/>
          <w:sz w:val="22"/>
          <w:szCs w:val="22"/>
        </w:rPr>
      </w:pPr>
      <w:r w:rsidRPr="0016602F">
        <w:rPr>
          <w:rFonts w:ascii="Arial" w:hAnsi="Arial" w:cs="Arial"/>
          <w:color w:val="000000" w:themeColor="text1"/>
          <w:sz w:val="22"/>
          <w:szCs w:val="22"/>
        </w:rPr>
        <w:t>As part of an audit in accordance with ISSAIs, we exercise professional judgment and maintain professional skepticism throughout the audit.  We also:</w:t>
      </w:r>
    </w:p>
    <w:p w:rsidR="00474BD1" w:rsidRPr="00A14A74" w:rsidRDefault="00474BD1" w:rsidP="00474BD1">
      <w:pPr>
        <w:jc w:val="both"/>
        <w:rPr>
          <w:rFonts w:cs="Arial"/>
          <w:sz w:val="22"/>
          <w:szCs w:val="22"/>
        </w:rPr>
      </w:pPr>
    </w:p>
    <w:p w:rsidR="00474BD1" w:rsidRPr="00BA517D" w:rsidRDefault="00474BD1" w:rsidP="00474BD1">
      <w:pPr>
        <w:pStyle w:val="ListParagraph"/>
        <w:numPr>
          <w:ilvl w:val="0"/>
          <w:numId w:val="4"/>
        </w:numPr>
        <w:spacing w:after="0" w:line="240" w:lineRule="auto"/>
        <w:ind w:left="360"/>
        <w:contextualSpacing w:val="0"/>
        <w:jc w:val="both"/>
        <w:rPr>
          <w:rFonts w:ascii="Arial" w:hAnsi="Arial" w:cs="Arial"/>
          <w:color w:val="000000"/>
        </w:rPr>
      </w:pPr>
      <w:r w:rsidRPr="00BA517D">
        <w:rPr>
          <w:rFonts w:ascii="Arial" w:hAnsi="Arial" w:cs="Arial"/>
          <w:color w:val="000000"/>
        </w:rPr>
        <w:t>Identify and assess the risks of material misstatement of the financial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p>
    <w:p w:rsidR="00474BD1" w:rsidRPr="00BA517D" w:rsidRDefault="00474BD1" w:rsidP="00474BD1">
      <w:pPr>
        <w:pStyle w:val="ListParagraph"/>
        <w:ind w:left="360" w:hanging="360"/>
        <w:jc w:val="both"/>
        <w:rPr>
          <w:rFonts w:ascii="Arial" w:hAnsi="Arial" w:cs="Arial"/>
          <w:color w:val="000000"/>
        </w:rPr>
      </w:pPr>
    </w:p>
    <w:p w:rsidR="00474BD1" w:rsidRPr="00BA517D" w:rsidRDefault="00474BD1" w:rsidP="00474BD1">
      <w:pPr>
        <w:pStyle w:val="ListParagraph"/>
        <w:numPr>
          <w:ilvl w:val="0"/>
          <w:numId w:val="4"/>
        </w:numPr>
        <w:spacing w:after="0" w:line="240" w:lineRule="auto"/>
        <w:ind w:left="360"/>
        <w:contextualSpacing w:val="0"/>
        <w:jc w:val="both"/>
        <w:rPr>
          <w:rFonts w:ascii="Arial" w:hAnsi="Arial" w:cs="Arial"/>
          <w:color w:val="000000"/>
        </w:rPr>
      </w:pPr>
      <w:r w:rsidRPr="00BA517D">
        <w:rPr>
          <w:rFonts w:ascii="Arial" w:hAnsi="Arial" w:cs="Arial"/>
          <w:color w:val="000000"/>
        </w:rPr>
        <w:t>Obtain an understanding of internal control relevant to the audit in order to design audit procedures that are appropriate in the circumstances, but not for the purpose of expressing an opinion on the effectiveness of the Corporation’s internal control.</w:t>
      </w:r>
    </w:p>
    <w:p w:rsidR="00474BD1" w:rsidRPr="00C26ADE" w:rsidRDefault="00474BD1" w:rsidP="00474BD1">
      <w:pPr>
        <w:pStyle w:val="ListParagraph"/>
        <w:ind w:left="360" w:hanging="360"/>
        <w:rPr>
          <w:rFonts w:ascii="Arial" w:hAnsi="Arial" w:cs="Arial"/>
        </w:rPr>
      </w:pPr>
    </w:p>
    <w:p w:rsidR="00474BD1" w:rsidRPr="00BA517D" w:rsidRDefault="00474BD1" w:rsidP="00474BD1">
      <w:pPr>
        <w:pStyle w:val="ListParagraph"/>
        <w:numPr>
          <w:ilvl w:val="0"/>
          <w:numId w:val="4"/>
        </w:numPr>
        <w:spacing w:after="0" w:line="240" w:lineRule="auto"/>
        <w:ind w:left="360"/>
        <w:contextualSpacing w:val="0"/>
        <w:jc w:val="both"/>
        <w:rPr>
          <w:rFonts w:ascii="Arial" w:hAnsi="Arial" w:cs="Arial"/>
          <w:color w:val="000000"/>
        </w:rPr>
      </w:pPr>
      <w:r w:rsidRPr="00BA517D">
        <w:rPr>
          <w:rFonts w:ascii="Arial" w:hAnsi="Arial" w:cs="Arial"/>
          <w:color w:val="000000"/>
        </w:rPr>
        <w:t>Evaluate the appropriateness of accounting policies used and the reasonableness of accounting estimates and related disclosures made by management.</w:t>
      </w:r>
    </w:p>
    <w:p w:rsidR="00474BD1" w:rsidRPr="00BA517D" w:rsidRDefault="00474BD1" w:rsidP="00474BD1">
      <w:pPr>
        <w:pStyle w:val="ListParagraph"/>
        <w:ind w:left="360" w:hanging="360"/>
        <w:rPr>
          <w:rFonts w:ascii="Arial" w:hAnsi="Arial" w:cs="Arial"/>
          <w:color w:val="000000"/>
        </w:rPr>
      </w:pPr>
    </w:p>
    <w:p w:rsidR="00474BD1" w:rsidRPr="00BA517D" w:rsidRDefault="00474BD1" w:rsidP="00474BD1">
      <w:pPr>
        <w:pStyle w:val="ListParagraph"/>
        <w:numPr>
          <w:ilvl w:val="0"/>
          <w:numId w:val="4"/>
        </w:numPr>
        <w:spacing w:after="0" w:line="240" w:lineRule="auto"/>
        <w:ind w:left="360"/>
        <w:contextualSpacing w:val="0"/>
        <w:jc w:val="both"/>
        <w:rPr>
          <w:rFonts w:ascii="Arial" w:hAnsi="Arial" w:cs="Arial"/>
          <w:color w:val="000000"/>
        </w:rPr>
      </w:pPr>
      <w:r w:rsidRPr="00BA517D">
        <w:rPr>
          <w:rFonts w:ascii="Arial" w:hAnsi="Arial" w:cs="Arial"/>
          <w:color w:val="000000"/>
        </w:rPr>
        <w:t xml:space="preserve">Conclude on the appropriateness of management’s use of the going concern basis of accounting and, based on the audit evidence obtained, whether a material uncertainty exists related to events or conditions that may cast significant doubt on the Corporation’s ability to continue as a going concern.  If we conclude that a material uncertainty exists, we are required to draw attention in our auditor’s report to the related disclosures in the financial statements or, if such disclosure are inadequate, to modify our opinion.  Our conclusions are based on the audit evidence obtained up to the date of our auditor’s report.  However, future events or conditions may cause the Corporation to cease to continue as a going concern. </w:t>
      </w:r>
    </w:p>
    <w:p w:rsidR="00474BD1" w:rsidRPr="00BA517D" w:rsidRDefault="00474BD1" w:rsidP="00474BD1">
      <w:pPr>
        <w:pStyle w:val="ListParagraph"/>
        <w:ind w:left="360" w:hanging="360"/>
        <w:rPr>
          <w:rFonts w:ascii="Arial" w:hAnsi="Arial" w:cs="Arial"/>
          <w:color w:val="000000"/>
        </w:rPr>
      </w:pPr>
    </w:p>
    <w:p w:rsidR="00474BD1" w:rsidRPr="00BA517D" w:rsidRDefault="00474BD1" w:rsidP="00474BD1">
      <w:pPr>
        <w:pStyle w:val="ListParagraph"/>
        <w:numPr>
          <w:ilvl w:val="0"/>
          <w:numId w:val="4"/>
        </w:numPr>
        <w:spacing w:after="0" w:line="240" w:lineRule="auto"/>
        <w:ind w:left="360"/>
        <w:contextualSpacing w:val="0"/>
        <w:jc w:val="both"/>
        <w:rPr>
          <w:rFonts w:ascii="Arial" w:hAnsi="Arial" w:cs="Arial"/>
          <w:color w:val="000000"/>
        </w:rPr>
      </w:pPr>
      <w:r w:rsidRPr="00BA517D">
        <w:rPr>
          <w:rFonts w:ascii="Arial" w:hAnsi="Arial" w:cs="Arial"/>
          <w:color w:val="000000"/>
        </w:rPr>
        <w:t>Evaluate the overall presentation, structure and content of the financial statements, including the disclosures, and whether the financial statements represent the underlying transactions and events in a manner that achieves fair presentation.</w:t>
      </w:r>
    </w:p>
    <w:p w:rsidR="00474BD1" w:rsidRPr="00C26ADE" w:rsidRDefault="00474BD1" w:rsidP="00474BD1">
      <w:pPr>
        <w:pStyle w:val="ListParagraph"/>
        <w:rPr>
          <w:rFonts w:ascii="Arial" w:hAnsi="Arial" w:cs="Arial"/>
        </w:rPr>
      </w:pPr>
    </w:p>
    <w:p w:rsidR="00474BD1" w:rsidRPr="00BA517D" w:rsidRDefault="00474BD1" w:rsidP="00474BD1">
      <w:pPr>
        <w:pStyle w:val="ListParagraph"/>
        <w:ind w:left="0"/>
        <w:jc w:val="both"/>
        <w:rPr>
          <w:rFonts w:ascii="Arial" w:hAnsi="Arial" w:cs="Arial"/>
          <w:color w:val="000000"/>
        </w:rPr>
      </w:pPr>
      <w:r w:rsidRPr="00BA517D">
        <w:rPr>
          <w:rFonts w:ascii="Arial" w:hAnsi="Arial" w:cs="Arial"/>
          <w:color w:val="000000"/>
        </w:rPr>
        <w:t>We communicate with those charged with governance regarding, among other matters, the planned scope and timing of the audit and significant audit findings, including any significant deficiencies in internal control that we identify during our audit.</w:t>
      </w:r>
    </w:p>
    <w:p w:rsidR="00474BD1" w:rsidRDefault="00474BD1" w:rsidP="00474BD1">
      <w:pPr>
        <w:jc w:val="both"/>
        <w:rPr>
          <w:rFonts w:ascii="Arial" w:hAnsi="Arial"/>
          <w:b/>
          <w:i/>
          <w:sz w:val="22"/>
        </w:rPr>
      </w:pPr>
      <w:r>
        <w:rPr>
          <w:rFonts w:ascii="Arial" w:hAnsi="Arial"/>
          <w:b/>
          <w:i/>
          <w:sz w:val="22"/>
        </w:rPr>
        <w:t xml:space="preserve">Report on Supplementary Information Required Under </w:t>
      </w:r>
    </w:p>
    <w:p w:rsidR="00474BD1" w:rsidRDefault="00474BD1" w:rsidP="00474BD1">
      <w:pPr>
        <w:jc w:val="both"/>
        <w:rPr>
          <w:rFonts w:ascii="Arial" w:hAnsi="Arial"/>
          <w:b/>
          <w:i/>
          <w:sz w:val="22"/>
        </w:rPr>
      </w:pPr>
      <w:r>
        <w:rPr>
          <w:rFonts w:ascii="Arial" w:hAnsi="Arial"/>
          <w:b/>
          <w:i/>
          <w:sz w:val="22"/>
        </w:rPr>
        <w:t>BIR Revenue Regulations 15-2010</w:t>
      </w:r>
    </w:p>
    <w:p w:rsidR="00474BD1" w:rsidRPr="00710545" w:rsidRDefault="00474BD1" w:rsidP="00474BD1">
      <w:pPr>
        <w:jc w:val="both"/>
        <w:rPr>
          <w:rFonts w:ascii="Arial" w:hAnsi="Arial"/>
          <w:b/>
          <w:i/>
          <w:sz w:val="22"/>
        </w:rPr>
      </w:pPr>
    </w:p>
    <w:p w:rsidR="00474BD1" w:rsidRPr="00803BF4" w:rsidRDefault="00474BD1" w:rsidP="00474BD1">
      <w:pPr>
        <w:jc w:val="both"/>
        <w:rPr>
          <w:rFonts w:ascii="Arial" w:hAnsi="Arial" w:cs="Arial"/>
          <w:i/>
          <w:sz w:val="22"/>
          <w:szCs w:val="22"/>
        </w:rPr>
      </w:pPr>
      <w:r w:rsidRPr="00803BF4">
        <w:rPr>
          <w:rFonts w:ascii="Arial" w:hAnsi="Arial"/>
          <w:sz w:val="22"/>
        </w:rPr>
        <w:t>Our audit</w:t>
      </w:r>
      <w:r w:rsidR="00B850F7" w:rsidRPr="00803BF4">
        <w:rPr>
          <w:rFonts w:ascii="Arial" w:hAnsi="Arial"/>
          <w:sz w:val="22"/>
        </w:rPr>
        <w:t>s</w:t>
      </w:r>
      <w:r w:rsidRPr="00803BF4">
        <w:rPr>
          <w:rFonts w:ascii="Arial" w:hAnsi="Arial"/>
          <w:sz w:val="22"/>
        </w:rPr>
        <w:t xml:space="preserve"> </w:t>
      </w:r>
      <w:r w:rsidR="00B850F7" w:rsidRPr="00803BF4">
        <w:rPr>
          <w:rFonts w:ascii="Arial" w:hAnsi="Arial"/>
          <w:sz w:val="22"/>
        </w:rPr>
        <w:t>were</w:t>
      </w:r>
      <w:r w:rsidRPr="00803BF4">
        <w:rPr>
          <w:rFonts w:ascii="Arial" w:hAnsi="Arial"/>
          <w:sz w:val="22"/>
        </w:rPr>
        <w:t xml:space="preserve"> conducted for the purpose of forming an opinion on the basic financial statements taken as a whole.  The supplementary information for the year ended December 31, 2017 required by the Bureau of Internal Revenue</w:t>
      </w:r>
      <w:r w:rsidRPr="00803BF4">
        <w:rPr>
          <w:rFonts w:ascii="Arial" w:hAnsi="Arial" w:cs="Arial"/>
          <w:sz w:val="22"/>
          <w:szCs w:val="22"/>
        </w:rPr>
        <w:t xml:space="preserve"> as disclosed in Note </w:t>
      </w:r>
      <w:r w:rsidR="00803BF4" w:rsidRPr="00803BF4">
        <w:rPr>
          <w:rFonts w:ascii="Arial" w:hAnsi="Arial" w:cs="Arial"/>
          <w:sz w:val="22"/>
          <w:szCs w:val="22"/>
        </w:rPr>
        <w:t>3</w:t>
      </w:r>
      <w:r w:rsidR="00803BF4">
        <w:rPr>
          <w:rFonts w:ascii="Arial" w:hAnsi="Arial" w:cs="Arial"/>
          <w:sz w:val="22"/>
          <w:szCs w:val="22"/>
        </w:rPr>
        <w:t>1</w:t>
      </w:r>
      <w:r w:rsidRPr="00803BF4">
        <w:rPr>
          <w:rFonts w:ascii="Arial" w:hAnsi="Arial" w:cs="Arial"/>
          <w:sz w:val="22"/>
          <w:szCs w:val="22"/>
        </w:rPr>
        <w:t xml:space="preserve"> to the financial statements is presented for purposes of additional analysis and is not a required part of the basic financial statements prepared in accordance with the PPSASs. Such supplementary information is the responsibility of management.</w:t>
      </w:r>
    </w:p>
    <w:p w:rsidR="00474BD1" w:rsidRDefault="00474BD1" w:rsidP="00474BD1">
      <w:pPr>
        <w:rPr>
          <w:rFonts w:ascii="Arial" w:hAnsi="Arial"/>
          <w:i/>
          <w:sz w:val="22"/>
        </w:rPr>
      </w:pPr>
    </w:p>
    <w:p w:rsidR="0003084E" w:rsidRPr="00462690" w:rsidRDefault="0003084E" w:rsidP="00474BD1">
      <w:pPr>
        <w:rPr>
          <w:rFonts w:ascii="Arial" w:hAnsi="Arial"/>
          <w:i/>
          <w:sz w:val="22"/>
        </w:rPr>
      </w:pPr>
    </w:p>
    <w:p w:rsidR="00474BD1" w:rsidRPr="00462690" w:rsidRDefault="00474BD1" w:rsidP="00474BD1">
      <w:pPr>
        <w:jc w:val="both"/>
        <w:rPr>
          <w:rFonts w:ascii="Arial" w:hAnsi="Arial"/>
          <w:b/>
          <w:sz w:val="22"/>
          <w:szCs w:val="22"/>
        </w:rPr>
      </w:pPr>
      <w:r w:rsidRPr="00462690">
        <w:rPr>
          <w:rFonts w:ascii="Arial" w:hAnsi="Arial"/>
          <w:b/>
          <w:sz w:val="22"/>
          <w:szCs w:val="22"/>
        </w:rPr>
        <w:t>COMMISSION ON AUDIT</w:t>
      </w:r>
    </w:p>
    <w:p w:rsidR="00474BD1" w:rsidRPr="00462690" w:rsidRDefault="00474BD1" w:rsidP="00474BD1">
      <w:pPr>
        <w:jc w:val="both"/>
        <w:rPr>
          <w:b/>
          <w:sz w:val="22"/>
          <w:szCs w:val="22"/>
          <w:lang w:val="en-PH"/>
        </w:rPr>
      </w:pPr>
    </w:p>
    <w:p w:rsidR="00474BD1" w:rsidRPr="00462690" w:rsidRDefault="00474BD1" w:rsidP="00474BD1">
      <w:pPr>
        <w:jc w:val="both"/>
        <w:rPr>
          <w:b/>
          <w:sz w:val="22"/>
          <w:szCs w:val="22"/>
          <w:lang w:val="en-PH"/>
        </w:rPr>
      </w:pPr>
    </w:p>
    <w:p w:rsidR="00474BD1" w:rsidRDefault="00474BD1" w:rsidP="00474BD1">
      <w:pPr>
        <w:jc w:val="both"/>
        <w:rPr>
          <w:rFonts w:ascii="Arial" w:hAnsi="Arial"/>
          <w:b/>
          <w:sz w:val="22"/>
          <w:szCs w:val="22"/>
          <w:lang w:val="en-PH"/>
        </w:rPr>
      </w:pPr>
    </w:p>
    <w:p w:rsidR="00474BD1" w:rsidRPr="00462690" w:rsidRDefault="00474BD1" w:rsidP="00474BD1">
      <w:pPr>
        <w:jc w:val="both"/>
        <w:rPr>
          <w:rFonts w:ascii="Arial" w:hAnsi="Arial"/>
          <w:sz w:val="22"/>
          <w:szCs w:val="22"/>
        </w:rPr>
      </w:pPr>
      <w:r>
        <w:rPr>
          <w:rFonts w:ascii="Arial" w:hAnsi="Arial"/>
          <w:b/>
          <w:sz w:val="22"/>
          <w:szCs w:val="22"/>
          <w:lang w:val="en-PH"/>
        </w:rPr>
        <w:t>MERLE M. VALENTIN</w:t>
      </w:r>
    </w:p>
    <w:p w:rsidR="00474BD1" w:rsidRPr="00462690" w:rsidRDefault="00474BD1" w:rsidP="00474BD1">
      <w:pPr>
        <w:jc w:val="both"/>
        <w:rPr>
          <w:rFonts w:ascii="Arial" w:hAnsi="Arial"/>
          <w:sz w:val="22"/>
          <w:szCs w:val="22"/>
          <w:lang w:val="en-PH"/>
        </w:rPr>
      </w:pPr>
      <w:r>
        <w:rPr>
          <w:rFonts w:ascii="Arial" w:hAnsi="Arial"/>
          <w:sz w:val="22"/>
          <w:szCs w:val="22"/>
          <w:lang w:val="en-PH"/>
        </w:rPr>
        <w:t>State Auditor IV</w:t>
      </w:r>
    </w:p>
    <w:p w:rsidR="00474BD1" w:rsidRDefault="00474BD1" w:rsidP="00474BD1">
      <w:pPr>
        <w:jc w:val="both"/>
        <w:rPr>
          <w:rFonts w:ascii="Arial" w:hAnsi="Arial"/>
          <w:sz w:val="22"/>
          <w:szCs w:val="22"/>
          <w:lang w:val="en-PH"/>
        </w:rPr>
      </w:pPr>
      <w:r>
        <w:rPr>
          <w:rFonts w:ascii="Arial" w:hAnsi="Arial"/>
          <w:sz w:val="22"/>
          <w:szCs w:val="22"/>
          <w:lang w:val="en-PH"/>
        </w:rPr>
        <w:t>OIC-Supervising Auditor</w:t>
      </w:r>
    </w:p>
    <w:p w:rsidR="00474BD1" w:rsidRPr="00462690" w:rsidRDefault="00474BD1" w:rsidP="00474BD1">
      <w:pPr>
        <w:jc w:val="both"/>
        <w:rPr>
          <w:rFonts w:ascii="Arial" w:hAnsi="Arial"/>
          <w:sz w:val="22"/>
          <w:szCs w:val="22"/>
          <w:lang w:val="en-PH"/>
        </w:rPr>
      </w:pPr>
      <w:r>
        <w:rPr>
          <w:rFonts w:ascii="Arial" w:hAnsi="Arial"/>
          <w:sz w:val="22"/>
          <w:szCs w:val="22"/>
          <w:lang w:val="en-PH"/>
        </w:rPr>
        <w:t>Audit Group D – PFDA/NDA/NTA</w:t>
      </w:r>
    </w:p>
    <w:p w:rsidR="00474BD1" w:rsidRPr="00462690" w:rsidRDefault="00474BD1" w:rsidP="00474BD1">
      <w:pPr>
        <w:jc w:val="both"/>
        <w:rPr>
          <w:rFonts w:ascii="Arial" w:hAnsi="Arial"/>
          <w:sz w:val="22"/>
          <w:szCs w:val="22"/>
        </w:rPr>
      </w:pPr>
      <w:r w:rsidRPr="00462690">
        <w:rPr>
          <w:rFonts w:ascii="Arial" w:hAnsi="Arial"/>
          <w:sz w:val="22"/>
          <w:szCs w:val="22"/>
        </w:rPr>
        <w:t>Cluster 5</w:t>
      </w:r>
      <w:r>
        <w:rPr>
          <w:rFonts w:ascii="Arial" w:hAnsi="Arial"/>
          <w:sz w:val="22"/>
          <w:szCs w:val="22"/>
        </w:rPr>
        <w:t xml:space="preserve"> – Agricultural </w:t>
      </w:r>
      <w:r w:rsidRPr="00462690">
        <w:rPr>
          <w:rFonts w:ascii="Arial" w:hAnsi="Arial"/>
          <w:sz w:val="22"/>
          <w:szCs w:val="22"/>
        </w:rPr>
        <w:t>and Natural Resources</w:t>
      </w:r>
    </w:p>
    <w:p w:rsidR="00474BD1" w:rsidRPr="00462690" w:rsidRDefault="00474BD1" w:rsidP="00474BD1">
      <w:pPr>
        <w:jc w:val="both"/>
        <w:rPr>
          <w:rFonts w:ascii="Arial" w:hAnsi="Arial"/>
          <w:sz w:val="22"/>
          <w:szCs w:val="22"/>
        </w:rPr>
      </w:pPr>
      <w:r w:rsidRPr="00462690">
        <w:rPr>
          <w:rFonts w:ascii="Arial" w:hAnsi="Arial"/>
          <w:sz w:val="22"/>
          <w:szCs w:val="22"/>
        </w:rPr>
        <w:t>Corporate Government Sector</w:t>
      </w:r>
    </w:p>
    <w:p w:rsidR="00B54D25" w:rsidRDefault="00B54D25" w:rsidP="00C87F98">
      <w:pPr>
        <w:pStyle w:val="NoSpacing"/>
        <w:jc w:val="both"/>
        <w:rPr>
          <w:rFonts w:ascii="Arial" w:hAnsi="Arial" w:cs="Arial"/>
        </w:rPr>
      </w:pPr>
    </w:p>
    <w:p w:rsidR="0003084E" w:rsidRPr="00630487" w:rsidRDefault="0003084E" w:rsidP="00C87F98">
      <w:pPr>
        <w:pStyle w:val="NoSpacing"/>
        <w:jc w:val="both"/>
        <w:rPr>
          <w:rFonts w:ascii="Arial" w:hAnsi="Arial" w:cs="Arial"/>
        </w:rPr>
      </w:pPr>
    </w:p>
    <w:p w:rsidR="00B54D25" w:rsidRPr="00630487" w:rsidRDefault="00F35191" w:rsidP="00C87F98">
      <w:pPr>
        <w:pStyle w:val="NoSpacing"/>
        <w:jc w:val="both"/>
        <w:rPr>
          <w:rFonts w:ascii="Arial" w:hAnsi="Arial" w:cs="Arial"/>
          <w:color w:val="000000" w:themeColor="text1"/>
        </w:rPr>
      </w:pPr>
      <w:bookmarkStart w:id="0" w:name="_GoBack"/>
      <w:bookmarkEnd w:id="0"/>
      <w:r>
        <w:rPr>
          <w:rFonts w:ascii="Arial" w:hAnsi="Arial" w:cs="Arial"/>
          <w:color w:val="000000" w:themeColor="text1"/>
        </w:rPr>
        <w:t>June 22, 2018</w:t>
      </w:r>
    </w:p>
    <w:sectPr w:rsidR="00B54D25" w:rsidRPr="00630487" w:rsidSect="00630487">
      <w:pgSz w:w="12240" w:h="15840" w:code="1"/>
      <w:pgMar w:top="1440" w:right="1440" w:bottom="1440" w:left="1440" w:header="720" w:footer="720" w:gutter="72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BF0BAE"/>
    <w:multiLevelType w:val="hybridMultilevel"/>
    <w:tmpl w:val="F4088052"/>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
    <w:nsid w:val="397B57CD"/>
    <w:multiLevelType w:val="hybridMultilevel"/>
    <w:tmpl w:val="42EE393A"/>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
    <w:nsid w:val="4682246C"/>
    <w:multiLevelType w:val="hybridMultilevel"/>
    <w:tmpl w:val="07F0015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
    <w:nsid w:val="71FA4124"/>
    <w:multiLevelType w:val="hybridMultilevel"/>
    <w:tmpl w:val="873EBE64"/>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4">
    <w:nsid w:val="76AE4A7A"/>
    <w:multiLevelType w:val="multilevel"/>
    <w:tmpl w:val="3B64D304"/>
    <w:lvl w:ilvl="0">
      <w:start w:val="1"/>
      <w:numFmt w:val="decimal"/>
      <w:lvlText w:val="%1."/>
      <w:lvlJc w:val="left"/>
      <w:pPr>
        <w:ind w:left="720" w:hanging="360"/>
      </w:pPr>
      <w:rPr>
        <w:rFonts w:hint="default"/>
        <w:b/>
        <w:i w:val="0"/>
      </w:rPr>
    </w:lvl>
    <w:lvl w:ilvl="1">
      <w:start w:val="1"/>
      <w:numFmt w:val="decimal"/>
      <w:isLgl/>
      <w:lvlText w:val="%1.%2"/>
      <w:lvlJc w:val="left"/>
      <w:pPr>
        <w:ind w:left="720" w:hanging="360"/>
      </w:pPr>
      <w:rPr>
        <w:rFonts w:ascii="Arial" w:hAnsi="Arial" w:cs="Arial"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3"/>
  </w:num>
  <w:num w:numId="3">
    <w:abstractNumId w:val="1"/>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oofState w:spelling="clean" w:grammar="clean"/>
  <w:defaultTabStop w:val="720"/>
  <w:characterSpacingControl w:val="doNotCompress"/>
  <w:compat/>
  <w:rsids>
    <w:rsidRoot w:val="00C87F98"/>
    <w:rsid w:val="00005AAC"/>
    <w:rsid w:val="0003084E"/>
    <w:rsid w:val="00043EF8"/>
    <w:rsid w:val="000549F4"/>
    <w:rsid w:val="000C4E4E"/>
    <w:rsid w:val="000D0304"/>
    <w:rsid w:val="000D4A33"/>
    <w:rsid w:val="0015726C"/>
    <w:rsid w:val="00164118"/>
    <w:rsid w:val="001B7706"/>
    <w:rsid w:val="001E38B8"/>
    <w:rsid w:val="001F66EF"/>
    <w:rsid w:val="00205D5F"/>
    <w:rsid w:val="002109AC"/>
    <w:rsid w:val="002351F1"/>
    <w:rsid w:val="002F4321"/>
    <w:rsid w:val="00325869"/>
    <w:rsid w:val="003444A2"/>
    <w:rsid w:val="0035075A"/>
    <w:rsid w:val="003B400E"/>
    <w:rsid w:val="003B6BA3"/>
    <w:rsid w:val="0046158D"/>
    <w:rsid w:val="00474BD1"/>
    <w:rsid w:val="004D3996"/>
    <w:rsid w:val="00592518"/>
    <w:rsid w:val="00614ED3"/>
    <w:rsid w:val="00630487"/>
    <w:rsid w:val="00693479"/>
    <w:rsid w:val="006C6A62"/>
    <w:rsid w:val="006D55A0"/>
    <w:rsid w:val="00710D2D"/>
    <w:rsid w:val="00746522"/>
    <w:rsid w:val="0075115F"/>
    <w:rsid w:val="00795BF3"/>
    <w:rsid w:val="007A107D"/>
    <w:rsid w:val="00803BF4"/>
    <w:rsid w:val="0085552C"/>
    <w:rsid w:val="0088076E"/>
    <w:rsid w:val="008A63F4"/>
    <w:rsid w:val="008D55A0"/>
    <w:rsid w:val="00922D4B"/>
    <w:rsid w:val="0099683F"/>
    <w:rsid w:val="009A11E1"/>
    <w:rsid w:val="009C5A52"/>
    <w:rsid w:val="00A0246A"/>
    <w:rsid w:val="00A36B11"/>
    <w:rsid w:val="00A4688E"/>
    <w:rsid w:val="00A53319"/>
    <w:rsid w:val="00A60570"/>
    <w:rsid w:val="00A81E5C"/>
    <w:rsid w:val="00AB7C58"/>
    <w:rsid w:val="00AC15CD"/>
    <w:rsid w:val="00AC1A50"/>
    <w:rsid w:val="00AE22BE"/>
    <w:rsid w:val="00AF11BC"/>
    <w:rsid w:val="00B13149"/>
    <w:rsid w:val="00B4676E"/>
    <w:rsid w:val="00B50226"/>
    <w:rsid w:val="00B54D25"/>
    <w:rsid w:val="00B6755B"/>
    <w:rsid w:val="00B77157"/>
    <w:rsid w:val="00B850F7"/>
    <w:rsid w:val="00C779A7"/>
    <w:rsid w:val="00C87F98"/>
    <w:rsid w:val="00CC7EAF"/>
    <w:rsid w:val="00CE3E3D"/>
    <w:rsid w:val="00D20FB6"/>
    <w:rsid w:val="00D51CA7"/>
    <w:rsid w:val="00D62610"/>
    <w:rsid w:val="00D93815"/>
    <w:rsid w:val="00D93A64"/>
    <w:rsid w:val="00E30D77"/>
    <w:rsid w:val="00EE5437"/>
    <w:rsid w:val="00F35191"/>
    <w:rsid w:val="00F405D4"/>
  </w:rsids>
  <m:mathPr>
    <m:mathFont m:val="Cambria Math"/>
    <m:brkBin m:val="before"/>
    <m:brkBinSub m:val="--"/>
    <m:smallFrac m:val="off"/>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55A0"/>
    <w:pPr>
      <w:spacing w:after="0" w:line="240" w:lineRule="auto"/>
    </w:pPr>
    <w:rPr>
      <w:rFonts w:ascii="Times New Roman" w:eastAsia="Times New Roman" w:hAnsi="Times New Roman"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87F98"/>
    <w:pPr>
      <w:spacing w:after="0" w:line="240" w:lineRule="auto"/>
    </w:pPr>
  </w:style>
  <w:style w:type="paragraph" w:styleId="ListParagraph">
    <w:name w:val="List Paragraph"/>
    <w:aliases w:val="Resume Title"/>
    <w:basedOn w:val="Normal"/>
    <w:link w:val="ListParagraphChar"/>
    <w:uiPriority w:val="34"/>
    <w:qFormat/>
    <w:rsid w:val="00C87F98"/>
    <w:pPr>
      <w:spacing w:after="160" w:line="259" w:lineRule="auto"/>
      <w:ind w:left="720"/>
      <w:contextualSpacing/>
    </w:pPr>
    <w:rPr>
      <w:rFonts w:asciiTheme="minorHAnsi" w:eastAsiaTheme="minorHAnsi" w:hAnsiTheme="minorHAnsi" w:cstheme="minorBidi"/>
      <w:sz w:val="22"/>
      <w:szCs w:val="22"/>
      <w:lang w:val="en-PH"/>
    </w:rPr>
  </w:style>
  <w:style w:type="paragraph" w:styleId="BalloonText">
    <w:name w:val="Balloon Text"/>
    <w:basedOn w:val="Normal"/>
    <w:link w:val="BalloonTextChar"/>
    <w:uiPriority w:val="99"/>
    <w:semiHidden/>
    <w:unhideWhenUsed/>
    <w:rsid w:val="0016411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4118"/>
    <w:rPr>
      <w:rFonts w:ascii="Segoe UI" w:eastAsia="Times New Roman" w:hAnsi="Segoe UI" w:cs="Segoe UI"/>
      <w:sz w:val="18"/>
      <w:szCs w:val="18"/>
      <w:lang w:val="en-US"/>
    </w:rPr>
  </w:style>
  <w:style w:type="character" w:customStyle="1" w:styleId="ListParagraphChar">
    <w:name w:val="List Paragraph Char"/>
    <w:aliases w:val="Resume Title Char"/>
    <w:link w:val="ListParagraph"/>
    <w:uiPriority w:val="34"/>
    <w:locked/>
    <w:rsid w:val="00803BF4"/>
  </w:style>
</w:styles>
</file>

<file path=word/webSettings.xml><?xml version="1.0" encoding="utf-8"?>
<w:webSettings xmlns:r="http://schemas.openxmlformats.org/officeDocument/2006/relationships" xmlns:w="http://schemas.openxmlformats.org/wordprocessingml/2006/main">
  <w:divs>
    <w:div w:id="450713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F0C4C0-0A3D-495B-86B9-2B10745F8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3</Pages>
  <Words>1204</Words>
  <Characters>6866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coa</dc:creator>
  <cp:keywords/>
  <dc:description/>
  <cp:lastModifiedBy>linda.vegafria</cp:lastModifiedBy>
  <cp:revision>51</cp:revision>
  <cp:lastPrinted>2018-06-26T13:56:00Z</cp:lastPrinted>
  <dcterms:created xsi:type="dcterms:W3CDTF">2018-05-03T23:28:00Z</dcterms:created>
  <dcterms:modified xsi:type="dcterms:W3CDTF">2018-06-26T14:21:00Z</dcterms:modified>
</cp:coreProperties>
</file>